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D27E5" w14:textId="4DF8FE07" w:rsidR="00A34699" w:rsidRPr="00CE5262" w:rsidRDefault="00CE5262" w:rsidP="00581A6A">
      <w:pPr>
        <w:rPr>
          <w:b/>
          <w:bCs/>
        </w:rPr>
      </w:pPr>
      <w:r w:rsidRPr="00CE5262">
        <w:rPr>
          <w:b/>
          <w:bCs/>
        </w:rPr>
        <w:t>Excess Capacity Test Model (ECTM)</w:t>
      </w:r>
      <w:r w:rsidR="00213CC3">
        <w:rPr>
          <w:b/>
          <w:bCs/>
        </w:rPr>
        <w:t xml:space="preserve"> - Alternative Methodology</w:t>
      </w:r>
    </w:p>
    <w:p w14:paraId="0D0F8402" w14:textId="61572799" w:rsidR="00CE5262" w:rsidRPr="00CE5262" w:rsidRDefault="00CE5262" w:rsidP="00581A6A">
      <w:pPr>
        <w:rPr>
          <w:b/>
          <w:bCs/>
        </w:rPr>
      </w:pPr>
      <w:r w:rsidRPr="00CE5262">
        <w:rPr>
          <w:b/>
          <w:bCs/>
        </w:rPr>
        <w:t>About</w:t>
      </w:r>
    </w:p>
    <w:p w14:paraId="10A966F6" w14:textId="47777FC7" w:rsidR="00CE5262" w:rsidRDefault="00CE5262" w:rsidP="00581A6A">
      <w:r>
        <w:t xml:space="preserve">The ECTM is a demonstration model designed to illustrate an alternative methodology for reflecting excess capacity costs in the CDCM, it is not a final model intended to produce final </w:t>
      </w:r>
      <w:r w:rsidR="004D4980">
        <w:t>results</w:t>
      </w:r>
      <w:r>
        <w:t>.</w:t>
      </w:r>
    </w:p>
    <w:p w14:paraId="1B004FE1" w14:textId="07C1B211" w:rsidR="00CE5262" w:rsidRPr="00CE5262" w:rsidRDefault="00CE5262" w:rsidP="00581A6A">
      <w:pPr>
        <w:rPr>
          <w:b/>
          <w:bCs/>
        </w:rPr>
      </w:pPr>
      <w:r w:rsidRPr="00CE5262">
        <w:rPr>
          <w:b/>
          <w:bCs/>
        </w:rPr>
        <w:t>Intention</w:t>
      </w:r>
    </w:p>
    <w:p w14:paraId="186BBEA3" w14:textId="0764D5CB" w:rsidR="00CE5262" w:rsidRDefault="00CE5262" w:rsidP="00581A6A">
      <w:r>
        <w:t>Under the current CDCM, tariffs are structured in three ways.  Very crudely, these tariff structures can be thought of as representing the possibility of avoiding costs in network planning.  Hence, the service cable costs which are unavoidable while a user remains connected to a network irrespective of their load or capacity (within the typical bounds of their service model) are fixed.  Higher voltage network assets where loads are more diversified are considered to be entirely avoidable and are represented by unit rates.  In between these two extremes, capacity charges represent the size of assets required to be reserve</w:t>
      </w:r>
      <w:r w:rsidR="008224AE">
        <w:t>d</w:t>
      </w:r>
      <w:r>
        <w:t xml:space="preserve"> at</w:t>
      </w:r>
      <w:r w:rsidR="008224AE">
        <w:t>,</w:t>
      </w:r>
      <w:r>
        <w:t xml:space="preserve"> or immediately above</w:t>
      </w:r>
      <w:r w:rsidR="008224AE">
        <w:t>,</w:t>
      </w:r>
      <w:r>
        <w:t xml:space="preserve"> the level of connection.  The underlying assumption may be considered to be that local network assets need to be size</w:t>
      </w:r>
      <w:r w:rsidR="004D4980">
        <w:t>d</w:t>
      </w:r>
      <w:r>
        <w:t xml:space="preserve"> for the scale of an individual user’s peak demand, because the scope for diversity from other users at the point in the network is limited.</w:t>
      </w:r>
    </w:p>
    <w:p w14:paraId="39318598" w14:textId="771D6A97" w:rsidR="00CE5262" w:rsidRDefault="00CE5262" w:rsidP="00581A6A">
      <w:r>
        <w:t>In the CDCM these capacity charges are calculated by assigning network level costs to customer types using fixed standing charge factors which vary according to the type of customer and connection voltage.  This is how the capacity costs are limited to just those immediately local assets, and not those at a higher network level.</w:t>
      </w:r>
    </w:p>
    <w:p w14:paraId="72F65012" w14:textId="0E3CB6E8" w:rsidR="00CE5262" w:rsidRDefault="00CE5262" w:rsidP="00581A6A">
      <w:r>
        <w:t>Under th</w:t>
      </w:r>
      <w:r w:rsidR="004D4980">
        <w:t>e</w:t>
      </w:r>
      <w:r>
        <w:t xml:space="preserve"> alternative approach</w:t>
      </w:r>
      <w:r w:rsidR="004D4980">
        <w:t xml:space="preserve"> calculated using the ECTM</w:t>
      </w:r>
      <w:r>
        <w:t>, for excess capacity charges, new standing charge factors are introduce</w:t>
      </w:r>
      <w:r w:rsidR="004D4980">
        <w:t>d</w:t>
      </w:r>
      <w:r>
        <w:t xml:space="preserve"> that </w:t>
      </w:r>
      <w:r w:rsidR="00497109">
        <w:t xml:space="preserve">apply an excess capacity charge for assets at </w:t>
      </w:r>
      <w:r w:rsidR="004D4980">
        <w:t xml:space="preserve">higher </w:t>
      </w:r>
      <w:r w:rsidR="00497109">
        <w:t>network levels.  Hence, under this approach rather than paying for the higher network assets via unit rates, for the excess capacity, these costs are reflected by a higher excess capacity cost.  The cost reflectivity of the model overall is unaltered but the way in which those costs are reflected in tariffs is adjusted.</w:t>
      </w:r>
    </w:p>
    <w:p w14:paraId="0E2BF373" w14:textId="046AF4ED" w:rsidR="00213CC3" w:rsidRDefault="007D57E4" w:rsidP="00581A6A">
      <w:r>
        <w:t>To</w:t>
      </w:r>
      <w:r w:rsidR="00213CC3">
        <w:t xml:space="preserve"> avoid recovery of the cost for the same assets via both: excess capacity charges</w:t>
      </w:r>
      <w:r w:rsidR="00CC3436">
        <w:t>,</w:t>
      </w:r>
      <w:r w:rsidR="00213CC3">
        <w:t xml:space="preserve"> and unit rates and other charge elements; an adjustment is made in the model to lower the unit volumes in proportion to the ratio of the total of excess and normal capacity to normal capacity.  Through this mechanism, the adjusted volumes are lowered, resulting in </w:t>
      </w:r>
      <w:r w:rsidR="008224AE">
        <w:t xml:space="preserve">generally slightly </w:t>
      </w:r>
      <w:r w:rsidR="00CC3436">
        <w:t>higher</w:t>
      </w:r>
      <w:r w:rsidR="00213CC3">
        <w:t xml:space="preserve"> unit rates charges</w:t>
      </w:r>
      <w:r w:rsidR="00CC3436">
        <w:t xml:space="preserve"> </w:t>
      </w:r>
      <w:proofErr w:type="gramStart"/>
      <w:r w:rsidR="00CC3436">
        <w:t>as a result of</w:t>
      </w:r>
      <w:proofErr w:type="gramEnd"/>
      <w:r w:rsidR="00CC3436">
        <w:t xml:space="preserve"> a higher allocation of operating costs per kW (because the operating costs need to be recovered from a lower peak load).</w:t>
      </w:r>
      <w:r w:rsidR="008224AE">
        <w:t xml:space="preserve">  For those customers subject to excess capacity charges however, their unit costs are more significantly lowered as they are deemed to make up a lower proportion of the peak load.  In terms of overall revenue recovery, their higher excess capacity charges offset this unit rate reduction.</w:t>
      </w:r>
    </w:p>
    <w:p w14:paraId="288B0473" w14:textId="68DC8BA3" w:rsidR="00497109" w:rsidRDefault="00497109" w:rsidP="00581A6A">
      <w:pPr>
        <w:rPr>
          <w:b/>
          <w:bCs/>
        </w:rPr>
      </w:pPr>
      <w:r w:rsidRPr="00D74724">
        <w:rPr>
          <w:b/>
          <w:bCs/>
        </w:rPr>
        <w:t>Modelling</w:t>
      </w:r>
    </w:p>
    <w:p w14:paraId="3A66EFB8" w14:textId="50DAFAA9" w:rsidR="00FB126A" w:rsidRPr="00D87FA8" w:rsidRDefault="00FB126A" w:rsidP="00581A6A">
      <w:r w:rsidRPr="00D87FA8">
        <w:t>The modelling changes aim to maintain the current cost reflectivity of the CDCM model but to move costs that were previously reflected as unit charges to excess capacity charges.</w:t>
      </w:r>
    </w:p>
    <w:p w14:paraId="4DE080F4" w14:textId="1712E045" w:rsidR="00FB126A" w:rsidRPr="00D87FA8" w:rsidRDefault="00FB126A" w:rsidP="00581A6A">
      <w:r w:rsidRPr="00D87FA8">
        <w:t>This is achieved through a two-step process:</w:t>
      </w:r>
    </w:p>
    <w:p w14:paraId="5D9313B3" w14:textId="35EA630B" w:rsidR="00FB126A" w:rsidRPr="00D87FA8" w:rsidRDefault="00FB126A" w:rsidP="00FB126A">
      <w:pPr>
        <w:pStyle w:val="ListParagraph"/>
        <w:numPr>
          <w:ilvl w:val="0"/>
          <w:numId w:val="10"/>
        </w:numPr>
      </w:pPr>
      <w:r w:rsidRPr="00D87FA8">
        <w:lastRenderedPageBreak/>
        <w:t>Enhanced standing charge factors are introduced which calculate a new higher differential excess capacity charge.  The charge is higher than the normal capacity charge because the standing charge factors extend to higher voltage level assets.</w:t>
      </w:r>
    </w:p>
    <w:p w14:paraId="7A315EC6" w14:textId="7A203405" w:rsidR="008224AE" w:rsidRDefault="00FB126A" w:rsidP="008224AE">
      <w:pPr>
        <w:pStyle w:val="ListParagraph"/>
        <w:numPr>
          <w:ilvl w:val="0"/>
          <w:numId w:val="10"/>
        </w:numPr>
      </w:pPr>
      <w:r w:rsidRPr="00D87FA8">
        <w:t xml:space="preserve">Unit </w:t>
      </w:r>
      <w:r w:rsidR="008224AE">
        <w:t>volumes are adjusted by the assumed excess capacity units to reflect the fact that those costs will be recovered via an alternative mechanism.  This results in a small increase in units rate charges for non-excess capacity customers but a more significant reduction in unit rates charges for excess capacity charges.</w:t>
      </w:r>
    </w:p>
    <w:p w14:paraId="01C20910" w14:textId="796386A5" w:rsidR="00D87FA8" w:rsidRDefault="00D74724" w:rsidP="008224AE">
      <w:r>
        <w:t>The example model is based on the ENWL published 25-26 CDCM.  No inputs have been changed, and in testing no model rebalancing (the process of multiple iteration across all charging models) has been undertaken.</w:t>
      </w:r>
    </w:p>
    <w:p w14:paraId="1DF0EC5D" w14:textId="74431313" w:rsidR="00D74724" w:rsidRDefault="009533C8" w:rsidP="00581A6A">
      <w:r>
        <w:t xml:space="preserve">Furthermore, </w:t>
      </w:r>
      <w:r w:rsidR="00D87FA8">
        <w:t xml:space="preserve">there have been </w:t>
      </w:r>
      <w:r>
        <w:t xml:space="preserve">no adjustments relating to </w:t>
      </w:r>
      <w:r w:rsidR="00D87FA8">
        <w:t xml:space="preserve">500MW DRM assets to account form those instances where an excess surplus residual required application of a scaling factor to those asset values.  As the changes will typical lower unit rates, the changes would </w:t>
      </w:r>
      <w:r w:rsidR="00525E87">
        <w:t>be expected to result in models that have had the excess residual remedy applied returning to an error state, as the factor lowering 500MW DRM assets would no longer be sufficient.</w:t>
      </w:r>
    </w:p>
    <w:p w14:paraId="4374CC3F" w14:textId="4168E7FE" w:rsidR="00525E87" w:rsidRPr="00525E87" w:rsidRDefault="00525E87" w:rsidP="00581A6A">
      <w:pPr>
        <w:rPr>
          <w:b/>
          <w:bCs/>
        </w:rPr>
      </w:pPr>
      <w:r w:rsidRPr="00525E87">
        <w:rPr>
          <w:b/>
          <w:bCs/>
        </w:rPr>
        <w:t>Model changes in detail</w:t>
      </w:r>
    </w:p>
    <w:p w14:paraId="2CB2D11C" w14:textId="4A368311" w:rsidR="0067649B" w:rsidRDefault="0067649B" w:rsidP="0067649B">
      <w:pPr>
        <w:rPr>
          <w:b/>
          <w:bCs/>
        </w:rPr>
      </w:pPr>
      <w:r w:rsidRPr="00525E87">
        <w:rPr>
          <w:b/>
          <w:bCs/>
        </w:rPr>
        <w:t xml:space="preserve">Step </w:t>
      </w:r>
      <w:r>
        <w:rPr>
          <w:b/>
          <w:bCs/>
        </w:rPr>
        <w:t>1</w:t>
      </w:r>
      <w:r w:rsidRPr="00525E87">
        <w:rPr>
          <w:b/>
          <w:bCs/>
        </w:rPr>
        <w:t xml:space="preserve">: </w:t>
      </w:r>
      <w:r>
        <w:rPr>
          <w:b/>
          <w:bCs/>
        </w:rPr>
        <w:t>Adjustment of Volumes and System Peak Capacity</w:t>
      </w:r>
    </w:p>
    <w:p w14:paraId="7529EACB" w14:textId="6743467C" w:rsidR="0067649B" w:rsidRDefault="0067649B" w:rsidP="0067649B">
      <w:r>
        <w:t>Table 104-B is adjusted so the level of volumes for each unit are adjusted down by a factor equal to (Capacity</w:t>
      </w:r>
      <w:proofErr w:type="gramStart"/>
      <w:r>
        <w:t>/(</w:t>
      </w:r>
      <w:proofErr w:type="spellStart"/>
      <w:proofErr w:type="gramEnd"/>
      <w:r>
        <w:t>Capacity+Excess</w:t>
      </w:r>
      <w:proofErr w:type="spellEnd"/>
      <w:r>
        <w:t xml:space="preserve"> Capacity)).  This is done for every tariff category.</w:t>
      </w:r>
      <w:r w:rsidR="008224AE">
        <w:t xml:space="preserve">  The implicit assumption is that excess capacity and capacity are proportional to the unit consumption.</w:t>
      </w:r>
    </w:p>
    <w:p w14:paraId="345151E2" w14:textId="075C25FC" w:rsidR="0067649B" w:rsidRDefault="0067649B" w:rsidP="0067649B">
      <w:r>
        <w:rPr>
          <w:noProof/>
        </w:rPr>
        <w:drawing>
          <wp:inline distT="0" distB="0" distL="0" distR="0" wp14:anchorId="41195BC0" wp14:editId="422E5ABF">
            <wp:extent cx="5731510" cy="1694815"/>
            <wp:effectExtent l="0" t="0" r="2540" b="635"/>
            <wp:docPr id="143958228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582281" name="Picture 1" descr="A screenshot of a computer&#10;&#10;AI-generated content may be incorrect."/>
                    <pic:cNvPicPr/>
                  </pic:nvPicPr>
                  <pic:blipFill>
                    <a:blip r:embed="rId8"/>
                    <a:stretch>
                      <a:fillRect/>
                    </a:stretch>
                  </pic:blipFill>
                  <pic:spPr>
                    <a:xfrm>
                      <a:off x="0" y="0"/>
                      <a:ext cx="5731510" cy="1694815"/>
                    </a:xfrm>
                    <a:prstGeom prst="rect">
                      <a:avLst/>
                    </a:prstGeom>
                  </pic:spPr>
                </pic:pic>
              </a:graphicData>
            </a:graphic>
          </wp:inline>
        </w:drawing>
      </w:r>
    </w:p>
    <w:p w14:paraId="739A7E82" w14:textId="77777777" w:rsidR="0067649B" w:rsidRDefault="0067649B" w:rsidP="0067649B"/>
    <w:p w14:paraId="3BF41EEB" w14:textId="2EBF1522" w:rsidR="0067649B" w:rsidRPr="0067649B" w:rsidRDefault="0067649B" w:rsidP="0067649B">
      <w:r w:rsidRPr="0067649B">
        <w:t>Table 106-E on the “System peak demand” sheet is adjusted so the exceeded capacity level in the calculation is fixed at zero.</w:t>
      </w:r>
    </w:p>
    <w:p w14:paraId="0B7F4626" w14:textId="51D9B748" w:rsidR="0067649B" w:rsidRDefault="0067649B" w:rsidP="00581A6A">
      <w:pPr>
        <w:rPr>
          <w:b/>
          <w:bCs/>
        </w:rPr>
      </w:pPr>
      <w:r>
        <w:rPr>
          <w:noProof/>
        </w:rPr>
        <w:drawing>
          <wp:inline distT="0" distB="0" distL="0" distR="0" wp14:anchorId="2859316E" wp14:editId="49EFEB6D">
            <wp:extent cx="5731510" cy="1055370"/>
            <wp:effectExtent l="0" t="0" r="2540" b="0"/>
            <wp:docPr id="1502171178" name="Picture 1" descr="A white and blue grid with yellow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171178" name="Picture 1" descr="A white and blue grid with yellow lines&#10;&#10;AI-generated content may be incorrect."/>
                    <pic:cNvPicPr/>
                  </pic:nvPicPr>
                  <pic:blipFill>
                    <a:blip r:embed="rId9"/>
                    <a:stretch>
                      <a:fillRect/>
                    </a:stretch>
                  </pic:blipFill>
                  <pic:spPr>
                    <a:xfrm>
                      <a:off x="0" y="0"/>
                      <a:ext cx="5731510" cy="1055370"/>
                    </a:xfrm>
                    <a:prstGeom prst="rect">
                      <a:avLst/>
                    </a:prstGeom>
                  </pic:spPr>
                </pic:pic>
              </a:graphicData>
            </a:graphic>
          </wp:inline>
        </w:drawing>
      </w:r>
    </w:p>
    <w:p w14:paraId="239F8100" w14:textId="5CAA4754" w:rsidR="00525E87" w:rsidRPr="00525E87" w:rsidRDefault="00525E87" w:rsidP="00581A6A">
      <w:pPr>
        <w:rPr>
          <w:b/>
          <w:bCs/>
        </w:rPr>
      </w:pPr>
      <w:r w:rsidRPr="00525E87">
        <w:rPr>
          <w:b/>
          <w:bCs/>
        </w:rPr>
        <w:t xml:space="preserve">Step </w:t>
      </w:r>
      <w:r w:rsidR="0067649B">
        <w:rPr>
          <w:b/>
          <w:bCs/>
        </w:rPr>
        <w:t>2</w:t>
      </w:r>
      <w:r w:rsidRPr="00525E87">
        <w:rPr>
          <w:b/>
          <w:bCs/>
        </w:rPr>
        <w:t>: Enhanced standing charge factors</w:t>
      </w:r>
    </w:p>
    <w:p w14:paraId="5F391E3F" w14:textId="72CC532B" w:rsidR="00497109" w:rsidRDefault="00497109" w:rsidP="00581A6A">
      <w:r>
        <w:lastRenderedPageBreak/>
        <w:t>Alternative standing charge factors are added to the “standing charge factors” sheet as below.  The factors are set to 100% for all network levels for those customer types with excess capacity charges.</w:t>
      </w:r>
    </w:p>
    <w:p w14:paraId="1DDD963C" w14:textId="77777777" w:rsidR="004D4980" w:rsidRDefault="00497109" w:rsidP="004D4980">
      <w:pPr>
        <w:keepNext/>
      </w:pPr>
      <w:r>
        <w:rPr>
          <w:noProof/>
        </w:rPr>
        <w:drawing>
          <wp:inline distT="0" distB="0" distL="0" distR="0" wp14:anchorId="0675917E" wp14:editId="0E71118B">
            <wp:extent cx="5731510" cy="1866265"/>
            <wp:effectExtent l="0" t="0" r="2540" b="635"/>
            <wp:docPr id="1396988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988410" name=""/>
                    <pic:cNvPicPr/>
                  </pic:nvPicPr>
                  <pic:blipFill>
                    <a:blip r:embed="rId10"/>
                    <a:stretch>
                      <a:fillRect/>
                    </a:stretch>
                  </pic:blipFill>
                  <pic:spPr>
                    <a:xfrm>
                      <a:off x="0" y="0"/>
                      <a:ext cx="5731510" cy="1866265"/>
                    </a:xfrm>
                    <a:prstGeom prst="rect">
                      <a:avLst/>
                    </a:prstGeom>
                  </pic:spPr>
                </pic:pic>
              </a:graphicData>
            </a:graphic>
          </wp:inline>
        </w:drawing>
      </w:r>
    </w:p>
    <w:p w14:paraId="7B5D2CBB" w14:textId="54A26605" w:rsidR="00497109" w:rsidRDefault="004D4980" w:rsidP="004D4980">
      <w:pPr>
        <w:pStyle w:val="Caption"/>
      </w:pPr>
      <w:r>
        <w:t xml:space="preserve">Figure </w:t>
      </w:r>
      <w:fldSimple w:instr=" SEQ Figure \* ARABIC ">
        <w:r>
          <w:rPr>
            <w:noProof/>
          </w:rPr>
          <w:t>1</w:t>
        </w:r>
      </w:fldSimple>
      <w:r>
        <w:t xml:space="preserve"> New enhanced standing charge factors to be used for excess capacity calculation</w:t>
      </w:r>
    </w:p>
    <w:p w14:paraId="073944A5" w14:textId="39BFE2AE" w:rsidR="00497109" w:rsidRDefault="00497109" w:rsidP="00581A6A">
      <w:r>
        <w:t xml:space="preserve">In the “Capacity charges” sheet these factors are fed in and used in the excess capacity calculation </w:t>
      </w:r>
      <w:r w:rsidR="00525E87">
        <w:t xml:space="preserve">in place of the ‘normal’ standing charge factors </w:t>
      </w:r>
      <w:r>
        <w:t>which creates a differential charge in comparison to the standard capacity charge.</w:t>
      </w:r>
      <w:r w:rsidR="00D74724">
        <w:t xml:space="preserve">  Example below:</w:t>
      </w:r>
    </w:p>
    <w:p w14:paraId="5798DFE8" w14:textId="77777777" w:rsidR="004D4980" w:rsidRDefault="00D74724" w:rsidP="004D4980">
      <w:pPr>
        <w:keepNext/>
      </w:pPr>
      <w:r>
        <w:rPr>
          <w:noProof/>
        </w:rPr>
        <w:drawing>
          <wp:inline distT="0" distB="0" distL="0" distR="0" wp14:anchorId="6AC196F0" wp14:editId="412D20B4">
            <wp:extent cx="5731510" cy="2559050"/>
            <wp:effectExtent l="0" t="0" r="2540" b="0"/>
            <wp:docPr id="380316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316287" name=""/>
                    <pic:cNvPicPr/>
                  </pic:nvPicPr>
                  <pic:blipFill>
                    <a:blip r:embed="rId11"/>
                    <a:stretch>
                      <a:fillRect/>
                    </a:stretch>
                  </pic:blipFill>
                  <pic:spPr>
                    <a:xfrm>
                      <a:off x="0" y="0"/>
                      <a:ext cx="5731510" cy="2559050"/>
                    </a:xfrm>
                    <a:prstGeom prst="rect">
                      <a:avLst/>
                    </a:prstGeom>
                  </pic:spPr>
                </pic:pic>
              </a:graphicData>
            </a:graphic>
          </wp:inline>
        </w:drawing>
      </w:r>
    </w:p>
    <w:p w14:paraId="63B9026C" w14:textId="4E759B04" w:rsidR="00D74724" w:rsidRDefault="004D4980" w:rsidP="004D4980">
      <w:pPr>
        <w:pStyle w:val="Caption"/>
      </w:pPr>
      <w:r>
        <w:t xml:space="preserve">Figure </w:t>
      </w:r>
      <w:fldSimple w:instr=" SEQ Figure \* ARABIC ">
        <w:r>
          <w:rPr>
            <w:noProof/>
          </w:rPr>
          <w:t>2</w:t>
        </w:r>
      </w:fldSimple>
      <w:r>
        <w:t xml:space="preserve"> Calculation of excess capacity charges</w:t>
      </w:r>
    </w:p>
    <w:p w14:paraId="5117A320" w14:textId="7B1A2F08" w:rsidR="00497109" w:rsidRDefault="00497109" w:rsidP="00581A6A">
      <w:r>
        <w:t xml:space="preserve">Excess capacity tariffs in this example are around triple those of standard capacity charges for LV Site Specific customers, and around double for HV Site Specific customers.  As the charge is generated by applying higher voltage network asset costs to the charges it is as expected that the charge differential would be </w:t>
      </w:r>
      <w:r w:rsidR="00D74724">
        <w:t>lower for higher voltage connected customers.</w:t>
      </w:r>
    </w:p>
    <w:p w14:paraId="50497823" w14:textId="77777777" w:rsidR="0067649B" w:rsidRDefault="0067649B" w:rsidP="00581A6A">
      <w:pPr>
        <w:rPr>
          <w:b/>
          <w:bCs/>
        </w:rPr>
      </w:pPr>
    </w:p>
    <w:p w14:paraId="1627A7DA" w14:textId="48C1DD09" w:rsidR="00D74724" w:rsidRPr="00D74724" w:rsidRDefault="00D74724" w:rsidP="00581A6A">
      <w:pPr>
        <w:rPr>
          <w:b/>
          <w:bCs/>
        </w:rPr>
      </w:pPr>
      <w:r w:rsidRPr="00D74724">
        <w:rPr>
          <w:b/>
          <w:bCs/>
        </w:rPr>
        <w:t>Economic justification and observations</w:t>
      </w:r>
    </w:p>
    <w:p w14:paraId="04DB7B37" w14:textId="7C17F1D1" w:rsidR="0067649B" w:rsidRDefault="0067649B" w:rsidP="00581A6A">
      <w:r>
        <w:t xml:space="preserve">The aim is to produce a set of </w:t>
      </w:r>
      <w:proofErr w:type="gramStart"/>
      <w:r>
        <w:t>forward looking</w:t>
      </w:r>
      <w:proofErr w:type="gramEnd"/>
      <w:r>
        <w:t xml:space="preserve"> charges excluding the impact of excess capacity </w:t>
      </w:r>
      <w:proofErr w:type="gramStart"/>
      <w:r>
        <w:t>charges, and</w:t>
      </w:r>
      <w:proofErr w:type="gramEnd"/>
      <w:r>
        <w:t xml:space="preserve"> then introduc</w:t>
      </w:r>
      <w:r w:rsidR="00277709">
        <w:t>e</w:t>
      </w:r>
      <w:r>
        <w:t xml:space="preserve"> the excess capacity charges as an additional </w:t>
      </w:r>
      <w:proofErr w:type="gramStart"/>
      <w:r>
        <w:t>forward looking</w:t>
      </w:r>
      <w:proofErr w:type="gramEnd"/>
      <w:r>
        <w:t xml:space="preserve"> charge before the final step of revenue matching.</w:t>
      </w:r>
    </w:p>
    <w:p w14:paraId="76DD6014" w14:textId="76C0679D" w:rsidR="00277709" w:rsidRDefault="00277709" w:rsidP="00581A6A">
      <w:r>
        <w:lastRenderedPageBreak/>
        <w:t>Unit rates are generally increased for non-excess capacity customers because the adjusted unit volumes are lower – this effect is circa 0.5%.  This results in higher unit rates.  However, for excess capacity customers the unit rates are lowered because their share of peak load in reduced because the adjustment to unit rates in undertaken on their volumes – this effect is circa 3%.  This shift in revenue recovered in offset by the increase in excess capacity charges.</w:t>
      </w:r>
    </w:p>
    <w:p w14:paraId="0A11868B" w14:textId="5C16A2E7" w:rsidR="00277709" w:rsidRDefault="00277709" w:rsidP="00581A6A">
      <w:r>
        <w:t>Overall, revenue recovery is maintained which is evidenced by the only small change in fixed charges due to changes in residual revenue.  The modelling changes do not change the fundamental basis for cost reflectivity but only seek to reflect the charges on different tariff components (i.e. on excess capacity rather than unit rates).  The modelling changes seem to be successful in achieving that goal.</w:t>
      </w:r>
    </w:p>
    <w:sectPr w:rsidR="00277709" w:rsidSect="006F3170">
      <w:footerReference w:type="even" r:id="rId12"/>
      <w:footerReference w:type="default" r:id="rId13"/>
      <w:footerReference w:type="first" r:id="rId14"/>
      <w:pgSz w:w="11906" w:h="16838" w:code="9"/>
      <w:pgMar w:top="1440" w:right="1440" w:bottom="1440" w:left="1440" w:header="709" w:footer="8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083C3" w14:textId="77777777" w:rsidR="00BF141F" w:rsidRDefault="00BF141F" w:rsidP="00B61FA0">
      <w:pPr>
        <w:spacing w:before="0" w:after="0"/>
      </w:pPr>
      <w:r>
        <w:separator/>
      </w:r>
    </w:p>
  </w:endnote>
  <w:endnote w:type="continuationSeparator" w:id="0">
    <w:p w14:paraId="3C7C4075" w14:textId="77777777" w:rsidR="00BF141F" w:rsidRDefault="00BF141F" w:rsidP="00B61F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C48F" w14:textId="6E721E60" w:rsidR="00277709" w:rsidRDefault="002777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98295" w14:textId="254BF7E7" w:rsidR="00277709" w:rsidRDefault="002777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0B5D" w14:textId="03B72D28" w:rsidR="00277709" w:rsidRDefault="002777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82EFB" w14:textId="77777777" w:rsidR="00BF141F" w:rsidRDefault="00BF141F" w:rsidP="00B61FA0">
      <w:pPr>
        <w:spacing w:before="0" w:after="0"/>
      </w:pPr>
      <w:r>
        <w:separator/>
      </w:r>
    </w:p>
  </w:footnote>
  <w:footnote w:type="continuationSeparator" w:id="0">
    <w:p w14:paraId="099A6AFB" w14:textId="77777777" w:rsidR="00BF141F" w:rsidRDefault="00BF141F" w:rsidP="00B61FA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24B95"/>
    <w:multiLevelType w:val="hybridMultilevel"/>
    <w:tmpl w:val="B9A4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4C44"/>
    <w:multiLevelType w:val="hybridMultilevel"/>
    <w:tmpl w:val="27069302"/>
    <w:lvl w:ilvl="0" w:tplc="92F653B2">
      <w:start w:val="1"/>
      <w:numFmt w:val="decimal"/>
      <w:pStyle w:val="Heading3"/>
      <w:lvlText w:val="%1.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AAA299F"/>
    <w:multiLevelType w:val="hybridMultilevel"/>
    <w:tmpl w:val="C2269CE8"/>
    <w:lvl w:ilvl="0" w:tplc="87C4FD92">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E3B0032"/>
    <w:multiLevelType w:val="hybridMultilevel"/>
    <w:tmpl w:val="5ED0ABA8"/>
    <w:lvl w:ilvl="0" w:tplc="CBA032A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8F7C23"/>
    <w:multiLevelType w:val="hybridMultilevel"/>
    <w:tmpl w:val="2AD48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C74D77"/>
    <w:multiLevelType w:val="hybridMultilevel"/>
    <w:tmpl w:val="2B943E66"/>
    <w:lvl w:ilvl="0" w:tplc="AD72A208">
      <w:start w:val="1"/>
      <w:numFmt w:val="decimal"/>
      <w:pStyle w:val="Number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1AE2534"/>
    <w:multiLevelType w:val="hybridMultilevel"/>
    <w:tmpl w:val="5228517A"/>
    <w:lvl w:ilvl="0" w:tplc="182A6B60">
      <w:start w:val="1"/>
      <w:numFmt w:val="bullet"/>
      <w:pStyle w:val="Bulletlis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6F0E18"/>
    <w:multiLevelType w:val="hybridMultilevel"/>
    <w:tmpl w:val="DF348F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C37994"/>
    <w:multiLevelType w:val="hybridMultilevel"/>
    <w:tmpl w:val="F028C9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FB87996"/>
    <w:multiLevelType w:val="hybridMultilevel"/>
    <w:tmpl w:val="5EA2D3C6"/>
    <w:lvl w:ilvl="0" w:tplc="08F85A9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0764508">
    <w:abstractNumId w:val="2"/>
  </w:num>
  <w:num w:numId="2" w16cid:durableId="1777826185">
    <w:abstractNumId w:val="3"/>
  </w:num>
  <w:num w:numId="3" w16cid:durableId="1367293332">
    <w:abstractNumId w:val="1"/>
  </w:num>
  <w:num w:numId="4" w16cid:durableId="935284163">
    <w:abstractNumId w:val="0"/>
  </w:num>
  <w:num w:numId="5" w16cid:durableId="1592543026">
    <w:abstractNumId w:val="4"/>
  </w:num>
  <w:num w:numId="6" w16cid:durableId="1658681810">
    <w:abstractNumId w:val="6"/>
  </w:num>
  <w:num w:numId="7" w16cid:durableId="2007977461">
    <w:abstractNumId w:val="9"/>
  </w:num>
  <w:num w:numId="8" w16cid:durableId="1247887622">
    <w:abstractNumId w:val="5"/>
  </w:num>
  <w:num w:numId="9" w16cid:durableId="826676692">
    <w:abstractNumId w:val="8"/>
  </w:num>
  <w:num w:numId="10" w16cid:durableId="11089374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262"/>
    <w:rsid w:val="00093DA5"/>
    <w:rsid w:val="000C56BE"/>
    <w:rsid w:val="001542D5"/>
    <w:rsid w:val="00213CC3"/>
    <w:rsid w:val="00277709"/>
    <w:rsid w:val="002A0E7A"/>
    <w:rsid w:val="002C2A04"/>
    <w:rsid w:val="003363A0"/>
    <w:rsid w:val="00337549"/>
    <w:rsid w:val="00407FFC"/>
    <w:rsid w:val="00426EEA"/>
    <w:rsid w:val="00497109"/>
    <w:rsid w:val="004A4BB2"/>
    <w:rsid w:val="004D4980"/>
    <w:rsid w:val="00525E87"/>
    <w:rsid w:val="00541DB8"/>
    <w:rsid w:val="00581A6A"/>
    <w:rsid w:val="0063231A"/>
    <w:rsid w:val="0067649B"/>
    <w:rsid w:val="006A2AD3"/>
    <w:rsid w:val="006F3170"/>
    <w:rsid w:val="00715E4A"/>
    <w:rsid w:val="00757093"/>
    <w:rsid w:val="007C2BCA"/>
    <w:rsid w:val="007D57E4"/>
    <w:rsid w:val="008224AE"/>
    <w:rsid w:val="00836042"/>
    <w:rsid w:val="00861493"/>
    <w:rsid w:val="009533C8"/>
    <w:rsid w:val="009C5E6D"/>
    <w:rsid w:val="00A34699"/>
    <w:rsid w:val="00AA5AAD"/>
    <w:rsid w:val="00B46DD9"/>
    <w:rsid w:val="00B61FA0"/>
    <w:rsid w:val="00BB4AC0"/>
    <w:rsid w:val="00BF141F"/>
    <w:rsid w:val="00CA273D"/>
    <w:rsid w:val="00CC3436"/>
    <w:rsid w:val="00CE5262"/>
    <w:rsid w:val="00D06436"/>
    <w:rsid w:val="00D74724"/>
    <w:rsid w:val="00D87FA8"/>
    <w:rsid w:val="00E21E0B"/>
    <w:rsid w:val="00E349B6"/>
    <w:rsid w:val="00E41E63"/>
    <w:rsid w:val="00E45901"/>
    <w:rsid w:val="00EA12C5"/>
    <w:rsid w:val="00EB0590"/>
    <w:rsid w:val="00EB14A6"/>
    <w:rsid w:val="00EC6C60"/>
    <w:rsid w:val="00F05DA7"/>
    <w:rsid w:val="00F40D84"/>
    <w:rsid w:val="00F84390"/>
    <w:rsid w:val="00FB126A"/>
    <w:rsid w:val="00FC60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DA011"/>
  <w15:chartTrackingRefBased/>
  <w15:docId w15:val="{95F176B8-E4D2-4820-9749-CDCEF67B6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E4A"/>
    <w:pPr>
      <w:spacing w:before="240" w:after="240" w:line="240" w:lineRule="auto"/>
      <w:jc w:val="both"/>
    </w:pPr>
  </w:style>
  <w:style w:type="paragraph" w:styleId="Heading1">
    <w:name w:val="heading 1"/>
    <w:next w:val="Normal"/>
    <w:link w:val="Heading1Char"/>
    <w:uiPriority w:val="9"/>
    <w:qFormat/>
    <w:rsid w:val="006F3170"/>
    <w:pPr>
      <w:keepNext/>
      <w:keepLines/>
      <w:numPr>
        <w:numId w:val="1"/>
      </w:numPr>
      <w:spacing w:before="360" w:line="240" w:lineRule="auto"/>
      <w:ind w:left="431" w:hanging="431"/>
      <w:outlineLvl w:val="0"/>
    </w:pPr>
    <w:rPr>
      <w:rFonts w:asciiTheme="majorHAnsi" w:eastAsiaTheme="majorEastAsia" w:hAnsiTheme="majorHAnsi" w:cstheme="majorBidi"/>
      <w:color w:val="00245D"/>
      <w:sz w:val="32"/>
      <w:szCs w:val="32"/>
    </w:rPr>
  </w:style>
  <w:style w:type="paragraph" w:styleId="Heading2">
    <w:name w:val="heading 2"/>
    <w:next w:val="Normal"/>
    <w:link w:val="Heading2Char"/>
    <w:uiPriority w:val="9"/>
    <w:unhideWhenUsed/>
    <w:qFormat/>
    <w:rsid w:val="006F3170"/>
    <w:pPr>
      <w:keepNext/>
      <w:keepLines/>
      <w:numPr>
        <w:numId w:val="2"/>
      </w:numPr>
      <w:spacing w:before="360" w:after="240" w:line="240" w:lineRule="auto"/>
      <w:ind w:left="578" w:hanging="578"/>
      <w:outlineLvl w:val="1"/>
    </w:pPr>
    <w:rPr>
      <w:rFonts w:asciiTheme="majorHAnsi" w:eastAsiaTheme="majorEastAsia" w:hAnsiTheme="majorHAnsi" w:cstheme="majorBidi"/>
      <w:color w:val="00245D"/>
      <w:sz w:val="28"/>
      <w:szCs w:val="26"/>
    </w:rPr>
  </w:style>
  <w:style w:type="paragraph" w:styleId="Heading3">
    <w:name w:val="heading 3"/>
    <w:next w:val="Normal"/>
    <w:link w:val="Heading3Char"/>
    <w:uiPriority w:val="9"/>
    <w:unhideWhenUsed/>
    <w:qFormat/>
    <w:rsid w:val="006A2AD3"/>
    <w:pPr>
      <w:keepNext/>
      <w:keepLines/>
      <w:numPr>
        <w:numId w:val="3"/>
      </w:numPr>
      <w:spacing w:before="240" w:after="240" w:line="240" w:lineRule="auto"/>
      <w:ind w:hanging="720"/>
      <w:outlineLvl w:val="2"/>
    </w:pPr>
    <w:rPr>
      <w:rFonts w:asciiTheme="majorHAnsi" w:eastAsiaTheme="majorEastAsia" w:hAnsiTheme="majorHAnsi" w:cstheme="majorBidi"/>
      <w:color w:val="00245D"/>
      <w:sz w:val="24"/>
      <w:szCs w:val="24"/>
    </w:rPr>
  </w:style>
  <w:style w:type="paragraph" w:styleId="Heading4">
    <w:name w:val="heading 4"/>
    <w:basedOn w:val="Normal"/>
    <w:next w:val="Normal"/>
    <w:link w:val="Heading4Char"/>
    <w:uiPriority w:val="9"/>
    <w:semiHidden/>
    <w:unhideWhenUsed/>
    <w:rsid w:val="00CE5262"/>
    <w:pPr>
      <w:keepNext/>
      <w:keepLines/>
      <w:spacing w:before="80" w:after="40"/>
      <w:outlineLvl w:val="3"/>
    </w:pPr>
    <w:rPr>
      <w:rFonts w:eastAsiaTheme="majorEastAsia" w:cstheme="majorBidi"/>
      <w:i/>
      <w:iCs/>
      <w:color w:val="745196" w:themeColor="accent1" w:themeShade="BF"/>
    </w:rPr>
  </w:style>
  <w:style w:type="paragraph" w:styleId="Heading5">
    <w:name w:val="heading 5"/>
    <w:basedOn w:val="Normal"/>
    <w:next w:val="Normal"/>
    <w:link w:val="Heading5Char"/>
    <w:uiPriority w:val="9"/>
    <w:semiHidden/>
    <w:unhideWhenUsed/>
    <w:qFormat/>
    <w:rsid w:val="00CE5262"/>
    <w:pPr>
      <w:keepNext/>
      <w:keepLines/>
      <w:spacing w:before="80" w:after="40"/>
      <w:outlineLvl w:val="4"/>
    </w:pPr>
    <w:rPr>
      <w:rFonts w:eastAsiaTheme="majorEastAsia" w:cstheme="majorBidi"/>
      <w:color w:val="745196" w:themeColor="accent1" w:themeShade="BF"/>
    </w:rPr>
  </w:style>
  <w:style w:type="paragraph" w:styleId="Heading6">
    <w:name w:val="heading 6"/>
    <w:basedOn w:val="Normal"/>
    <w:next w:val="Normal"/>
    <w:link w:val="Heading6Char"/>
    <w:uiPriority w:val="9"/>
    <w:semiHidden/>
    <w:unhideWhenUsed/>
    <w:qFormat/>
    <w:rsid w:val="00CE5262"/>
    <w:pPr>
      <w:keepNext/>
      <w:keepLines/>
      <w:spacing w:before="40" w:after="0"/>
      <w:outlineLvl w:val="5"/>
    </w:pPr>
    <w:rPr>
      <w:rFonts w:eastAsiaTheme="majorEastAsia" w:cstheme="majorBidi"/>
      <w:i/>
      <w:iCs/>
      <w:color w:val="005BEE" w:themeColor="text1" w:themeTint="A6"/>
    </w:rPr>
  </w:style>
  <w:style w:type="paragraph" w:styleId="Heading7">
    <w:name w:val="heading 7"/>
    <w:basedOn w:val="Normal"/>
    <w:next w:val="Normal"/>
    <w:link w:val="Heading7Char"/>
    <w:uiPriority w:val="9"/>
    <w:semiHidden/>
    <w:unhideWhenUsed/>
    <w:qFormat/>
    <w:rsid w:val="00CE5262"/>
    <w:pPr>
      <w:keepNext/>
      <w:keepLines/>
      <w:spacing w:before="40" w:after="0"/>
      <w:outlineLvl w:val="6"/>
    </w:pPr>
    <w:rPr>
      <w:rFonts w:eastAsiaTheme="majorEastAsia" w:cstheme="majorBidi"/>
      <w:color w:val="005BEE" w:themeColor="text1" w:themeTint="A6"/>
    </w:rPr>
  </w:style>
  <w:style w:type="paragraph" w:styleId="Heading8">
    <w:name w:val="heading 8"/>
    <w:basedOn w:val="Normal"/>
    <w:next w:val="Normal"/>
    <w:link w:val="Heading8Char"/>
    <w:uiPriority w:val="9"/>
    <w:semiHidden/>
    <w:unhideWhenUsed/>
    <w:qFormat/>
    <w:rsid w:val="00CE5262"/>
    <w:pPr>
      <w:keepNext/>
      <w:keepLines/>
      <w:spacing w:before="0" w:after="0"/>
      <w:outlineLvl w:val="7"/>
    </w:pPr>
    <w:rPr>
      <w:rFonts w:eastAsiaTheme="majorEastAsia" w:cstheme="majorBidi"/>
      <w:i/>
      <w:iCs/>
      <w:color w:val="003C9C" w:themeColor="text1" w:themeTint="D8"/>
    </w:rPr>
  </w:style>
  <w:style w:type="paragraph" w:styleId="Heading9">
    <w:name w:val="heading 9"/>
    <w:basedOn w:val="Normal"/>
    <w:next w:val="Normal"/>
    <w:link w:val="Heading9Char"/>
    <w:uiPriority w:val="9"/>
    <w:semiHidden/>
    <w:unhideWhenUsed/>
    <w:qFormat/>
    <w:rsid w:val="00CE5262"/>
    <w:pPr>
      <w:keepNext/>
      <w:keepLines/>
      <w:spacing w:before="0" w:after="0"/>
      <w:outlineLvl w:val="8"/>
    </w:pPr>
    <w:rPr>
      <w:rFonts w:eastAsiaTheme="majorEastAsia" w:cstheme="majorBidi"/>
      <w:color w:val="003C9C"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5E4A"/>
    <w:pPr>
      <w:spacing w:after="0" w:line="240" w:lineRule="auto"/>
      <w:jc w:val="both"/>
    </w:pPr>
  </w:style>
  <w:style w:type="character" w:customStyle="1" w:styleId="Heading1Char">
    <w:name w:val="Heading 1 Char"/>
    <w:basedOn w:val="DefaultParagraphFont"/>
    <w:link w:val="Heading1"/>
    <w:uiPriority w:val="9"/>
    <w:rsid w:val="006F3170"/>
    <w:rPr>
      <w:rFonts w:asciiTheme="majorHAnsi" w:eastAsiaTheme="majorEastAsia" w:hAnsiTheme="majorHAnsi" w:cstheme="majorBidi"/>
      <w:color w:val="00245D"/>
      <w:sz w:val="32"/>
      <w:szCs w:val="32"/>
    </w:rPr>
  </w:style>
  <w:style w:type="character" w:customStyle="1" w:styleId="Heading2Char">
    <w:name w:val="Heading 2 Char"/>
    <w:basedOn w:val="DefaultParagraphFont"/>
    <w:link w:val="Heading2"/>
    <w:uiPriority w:val="9"/>
    <w:rsid w:val="006F3170"/>
    <w:rPr>
      <w:rFonts w:asciiTheme="majorHAnsi" w:eastAsiaTheme="majorEastAsia" w:hAnsiTheme="majorHAnsi" w:cstheme="majorBidi"/>
      <w:color w:val="00245D"/>
      <w:sz w:val="28"/>
      <w:szCs w:val="26"/>
    </w:rPr>
  </w:style>
  <w:style w:type="character" w:customStyle="1" w:styleId="Heading3Char">
    <w:name w:val="Heading 3 Char"/>
    <w:basedOn w:val="DefaultParagraphFont"/>
    <w:link w:val="Heading3"/>
    <w:uiPriority w:val="9"/>
    <w:rsid w:val="006A2AD3"/>
    <w:rPr>
      <w:rFonts w:asciiTheme="majorHAnsi" w:eastAsiaTheme="majorEastAsia" w:hAnsiTheme="majorHAnsi" w:cstheme="majorBidi"/>
      <w:color w:val="00245D"/>
      <w:sz w:val="24"/>
      <w:szCs w:val="24"/>
    </w:rPr>
  </w:style>
  <w:style w:type="paragraph" w:styleId="Title">
    <w:name w:val="Title"/>
    <w:next w:val="Normal"/>
    <w:link w:val="TitleChar"/>
    <w:uiPriority w:val="10"/>
    <w:qFormat/>
    <w:rsid w:val="006A2AD3"/>
    <w:pPr>
      <w:spacing w:after="240" w:line="240" w:lineRule="auto"/>
      <w:contextualSpacing/>
    </w:pPr>
    <w:rPr>
      <w:rFonts w:asciiTheme="majorHAnsi" w:eastAsiaTheme="majorEastAsia" w:hAnsiTheme="majorHAnsi" w:cstheme="majorBidi"/>
      <w:color w:val="00245D"/>
      <w:spacing w:val="-10"/>
      <w:kern w:val="28"/>
      <w:sz w:val="72"/>
      <w:szCs w:val="56"/>
    </w:rPr>
  </w:style>
  <w:style w:type="character" w:customStyle="1" w:styleId="TitleChar">
    <w:name w:val="Title Char"/>
    <w:basedOn w:val="DefaultParagraphFont"/>
    <w:link w:val="Title"/>
    <w:uiPriority w:val="10"/>
    <w:rsid w:val="006A2AD3"/>
    <w:rPr>
      <w:rFonts w:asciiTheme="majorHAnsi" w:eastAsiaTheme="majorEastAsia" w:hAnsiTheme="majorHAnsi" w:cstheme="majorBidi"/>
      <w:color w:val="00245D"/>
      <w:spacing w:val="-10"/>
      <w:kern w:val="28"/>
      <w:sz w:val="72"/>
      <w:szCs w:val="56"/>
    </w:rPr>
  </w:style>
  <w:style w:type="paragraph" w:styleId="Subtitle">
    <w:name w:val="Subtitle"/>
    <w:next w:val="Normal"/>
    <w:link w:val="SubtitleChar"/>
    <w:uiPriority w:val="11"/>
    <w:qFormat/>
    <w:rsid w:val="00E349B6"/>
    <w:pPr>
      <w:numPr>
        <w:ilvl w:val="1"/>
      </w:numPr>
      <w:spacing w:before="480" w:after="480" w:line="240" w:lineRule="auto"/>
    </w:pPr>
    <w:rPr>
      <w:rFonts w:asciiTheme="majorHAnsi" w:eastAsiaTheme="minorEastAsia" w:hAnsiTheme="majorHAnsi"/>
      <w:color w:val="00245D"/>
      <w:spacing w:val="15"/>
      <w:sz w:val="40"/>
    </w:rPr>
  </w:style>
  <w:style w:type="character" w:customStyle="1" w:styleId="SubtitleChar">
    <w:name w:val="Subtitle Char"/>
    <w:basedOn w:val="DefaultParagraphFont"/>
    <w:link w:val="Subtitle"/>
    <w:uiPriority w:val="11"/>
    <w:rsid w:val="00E349B6"/>
    <w:rPr>
      <w:rFonts w:asciiTheme="majorHAnsi" w:eastAsiaTheme="minorEastAsia" w:hAnsiTheme="majorHAnsi"/>
      <w:color w:val="00245D"/>
      <w:spacing w:val="15"/>
      <w:sz w:val="40"/>
    </w:rPr>
  </w:style>
  <w:style w:type="paragraph" w:customStyle="1" w:styleId="Subtitle2">
    <w:name w:val="Subtitle 2"/>
    <w:next w:val="Normal"/>
    <w:qFormat/>
    <w:rsid w:val="00E349B6"/>
    <w:pPr>
      <w:spacing w:before="480" w:after="480" w:line="240" w:lineRule="auto"/>
    </w:pPr>
    <w:rPr>
      <w:rFonts w:asciiTheme="majorHAnsi" w:eastAsiaTheme="minorEastAsia" w:hAnsiTheme="majorHAnsi"/>
      <w:color w:val="5F605D"/>
      <w:spacing w:val="15"/>
      <w:sz w:val="40"/>
    </w:rPr>
  </w:style>
  <w:style w:type="paragraph" w:styleId="ListParagraph">
    <w:name w:val="List Paragraph"/>
    <w:basedOn w:val="Normal"/>
    <w:link w:val="ListParagraphChar"/>
    <w:uiPriority w:val="34"/>
    <w:rsid w:val="00F84390"/>
    <w:pPr>
      <w:ind w:left="431" w:hanging="431"/>
      <w:contextualSpacing/>
    </w:pPr>
  </w:style>
  <w:style w:type="paragraph" w:customStyle="1" w:styleId="Bulletlist">
    <w:name w:val="Bullet list"/>
    <w:basedOn w:val="ListParagraph"/>
    <w:link w:val="BulletlistChar"/>
    <w:rsid w:val="00F84390"/>
    <w:pPr>
      <w:numPr>
        <w:numId w:val="6"/>
      </w:numPr>
      <w:ind w:left="431" w:hanging="431"/>
    </w:pPr>
  </w:style>
  <w:style w:type="paragraph" w:customStyle="1" w:styleId="Numberlist">
    <w:name w:val="Number list"/>
    <w:basedOn w:val="ListParagraph"/>
    <w:link w:val="NumberlistChar"/>
    <w:rsid w:val="00F84390"/>
    <w:pPr>
      <w:numPr>
        <w:numId w:val="8"/>
      </w:numPr>
      <w:ind w:left="431" w:hanging="431"/>
    </w:pPr>
  </w:style>
  <w:style w:type="character" w:customStyle="1" w:styleId="ListParagraphChar">
    <w:name w:val="List Paragraph Char"/>
    <w:basedOn w:val="DefaultParagraphFont"/>
    <w:link w:val="ListParagraph"/>
    <w:uiPriority w:val="34"/>
    <w:rsid w:val="00F84390"/>
  </w:style>
  <w:style w:type="character" w:customStyle="1" w:styleId="BulletlistChar">
    <w:name w:val="Bullet list Char"/>
    <w:basedOn w:val="ListParagraphChar"/>
    <w:link w:val="Bulletlist"/>
    <w:rsid w:val="00F84390"/>
  </w:style>
  <w:style w:type="table" w:styleId="TableGrid">
    <w:name w:val="Table Grid"/>
    <w:basedOn w:val="TableNormal"/>
    <w:uiPriority w:val="39"/>
    <w:rsid w:val="00B61FA0"/>
    <w:pPr>
      <w:spacing w:after="0" w:line="240" w:lineRule="auto"/>
    </w:p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style>
  <w:style w:type="character" w:customStyle="1" w:styleId="NumberlistChar">
    <w:name w:val="Number list Char"/>
    <w:basedOn w:val="BulletlistChar"/>
    <w:link w:val="Numberlist"/>
    <w:rsid w:val="00F84390"/>
  </w:style>
  <w:style w:type="table" w:customStyle="1" w:styleId="Table1">
    <w:name w:val="Table 1"/>
    <w:basedOn w:val="TableNormal"/>
    <w:uiPriority w:val="99"/>
    <w:rsid w:val="00B61FA0"/>
    <w:pPr>
      <w:spacing w:before="100" w:beforeAutospacing="1" w:after="100" w:afterAutospacing="1" w:line="240" w:lineRule="auto"/>
    </w:p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paragraph" w:styleId="Header">
    <w:name w:val="header"/>
    <w:basedOn w:val="Normal"/>
    <w:link w:val="HeaderChar"/>
    <w:uiPriority w:val="99"/>
    <w:unhideWhenUsed/>
    <w:rsid w:val="00B61FA0"/>
    <w:pPr>
      <w:tabs>
        <w:tab w:val="center" w:pos="4513"/>
        <w:tab w:val="right" w:pos="9026"/>
      </w:tabs>
      <w:spacing w:before="0" w:after="0"/>
    </w:pPr>
  </w:style>
  <w:style w:type="character" w:customStyle="1" w:styleId="HeaderChar">
    <w:name w:val="Header Char"/>
    <w:basedOn w:val="DefaultParagraphFont"/>
    <w:link w:val="Header"/>
    <w:uiPriority w:val="99"/>
    <w:rsid w:val="00B61FA0"/>
  </w:style>
  <w:style w:type="paragraph" w:styleId="Footer">
    <w:name w:val="footer"/>
    <w:basedOn w:val="Normal"/>
    <w:link w:val="FooterChar"/>
    <w:uiPriority w:val="99"/>
    <w:unhideWhenUsed/>
    <w:rsid w:val="00B61FA0"/>
    <w:pPr>
      <w:tabs>
        <w:tab w:val="center" w:pos="4513"/>
        <w:tab w:val="right" w:pos="9026"/>
      </w:tabs>
      <w:spacing w:before="0" w:after="0"/>
    </w:pPr>
  </w:style>
  <w:style w:type="character" w:customStyle="1" w:styleId="FooterChar">
    <w:name w:val="Footer Char"/>
    <w:basedOn w:val="DefaultParagraphFont"/>
    <w:link w:val="Footer"/>
    <w:uiPriority w:val="99"/>
    <w:rsid w:val="00B61FA0"/>
  </w:style>
  <w:style w:type="table" w:styleId="ListTable5Dark">
    <w:name w:val="List Table 5 Dark"/>
    <w:basedOn w:val="TableNormal"/>
    <w:uiPriority w:val="50"/>
    <w:rsid w:val="00A34699"/>
    <w:pPr>
      <w:spacing w:after="0" w:line="240" w:lineRule="auto"/>
    </w:pPr>
    <w:rPr>
      <w:color w:val="FFFFFF" w:themeColor="background1"/>
    </w:rPr>
    <w:tblPr>
      <w:tblStyleRowBandSize w:val="1"/>
      <w:tblStyleColBandSize w:val="1"/>
      <w:tblBorders>
        <w:top w:val="single" w:sz="24" w:space="0" w:color="00245D" w:themeColor="text1"/>
        <w:left w:val="single" w:sz="24" w:space="0" w:color="00245D" w:themeColor="text1"/>
        <w:bottom w:val="single" w:sz="24" w:space="0" w:color="00245D" w:themeColor="text1"/>
        <w:right w:val="single" w:sz="24" w:space="0" w:color="00245D" w:themeColor="text1"/>
      </w:tblBorders>
    </w:tblPr>
    <w:tcPr>
      <w:shd w:val="clear" w:color="auto" w:fill="00245D"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Hyperlink">
    <w:name w:val="Hyperlink"/>
    <w:basedOn w:val="DefaultParagraphFont"/>
    <w:uiPriority w:val="99"/>
    <w:unhideWhenUsed/>
    <w:rsid w:val="00757093"/>
    <w:rPr>
      <w:color w:val="0000FF" w:themeColor="hyperlink"/>
      <w:u w:val="single"/>
    </w:rPr>
  </w:style>
  <w:style w:type="character" w:styleId="UnresolvedMention">
    <w:name w:val="Unresolved Mention"/>
    <w:basedOn w:val="DefaultParagraphFont"/>
    <w:uiPriority w:val="99"/>
    <w:semiHidden/>
    <w:unhideWhenUsed/>
    <w:rsid w:val="00757093"/>
    <w:rPr>
      <w:color w:val="808080"/>
      <w:shd w:val="clear" w:color="auto" w:fill="E6E6E6"/>
    </w:rPr>
  </w:style>
  <w:style w:type="character" w:customStyle="1" w:styleId="Heading4Char">
    <w:name w:val="Heading 4 Char"/>
    <w:basedOn w:val="DefaultParagraphFont"/>
    <w:link w:val="Heading4"/>
    <w:uiPriority w:val="9"/>
    <w:semiHidden/>
    <w:rsid w:val="00CE5262"/>
    <w:rPr>
      <w:rFonts w:eastAsiaTheme="majorEastAsia" w:cstheme="majorBidi"/>
      <w:i/>
      <w:iCs/>
      <w:color w:val="745196" w:themeColor="accent1" w:themeShade="BF"/>
    </w:rPr>
  </w:style>
  <w:style w:type="character" w:customStyle="1" w:styleId="Heading5Char">
    <w:name w:val="Heading 5 Char"/>
    <w:basedOn w:val="DefaultParagraphFont"/>
    <w:link w:val="Heading5"/>
    <w:uiPriority w:val="9"/>
    <w:semiHidden/>
    <w:rsid w:val="00CE5262"/>
    <w:rPr>
      <w:rFonts w:eastAsiaTheme="majorEastAsia" w:cstheme="majorBidi"/>
      <w:color w:val="745196" w:themeColor="accent1" w:themeShade="BF"/>
    </w:rPr>
  </w:style>
  <w:style w:type="character" w:customStyle="1" w:styleId="Heading6Char">
    <w:name w:val="Heading 6 Char"/>
    <w:basedOn w:val="DefaultParagraphFont"/>
    <w:link w:val="Heading6"/>
    <w:uiPriority w:val="9"/>
    <w:semiHidden/>
    <w:rsid w:val="00CE5262"/>
    <w:rPr>
      <w:rFonts w:eastAsiaTheme="majorEastAsia" w:cstheme="majorBidi"/>
      <w:i/>
      <w:iCs/>
      <w:color w:val="005BEE" w:themeColor="text1" w:themeTint="A6"/>
    </w:rPr>
  </w:style>
  <w:style w:type="character" w:customStyle="1" w:styleId="Heading7Char">
    <w:name w:val="Heading 7 Char"/>
    <w:basedOn w:val="DefaultParagraphFont"/>
    <w:link w:val="Heading7"/>
    <w:uiPriority w:val="9"/>
    <w:semiHidden/>
    <w:rsid w:val="00CE5262"/>
    <w:rPr>
      <w:rFonts w:eastAsiaTheme="majorEastAsia" w:cstheme="majorBidi"/>
      <w:color w:val="005BEE" w:themeColor="text1" w:themeTint="A6"/>
    </w:rPr>
  </w:style>
  <w:style w:type="character" w:customStyle="1" w:styleId="Heading8Char">
    <w:name w:val="Heading 8 Char"/>
    <w:basedOn w:val="DefaultParagraphFont"/>
    <w:link w:val="Heading8"/>
    <w:uiPriority w:val="9"/>
    <w:semiHidden/>
    <w:rsid w:val="00CE5262"/>
    <w:rPr>
      <w:rFonts w:eastAsiaTheme="majorEastAsia" w:cstheme="majorBidi"/>
      <w:i/>
      <w:iCs/>
      <w:color w:val="003C9C" w:themeColor="text1" w:themeTint="D8"/>
    </w:rPr>
  </w:style>
  <w:style w:type="character" w:customStyle="1" w:styleId="Heading9Char">
    <w:name w:val="Heading 9 Char"/>
    <w:basedOn w:val="DefaultParagraphFont"/>
    <w:link w:val="Heading9"/>
    <w:uiPriority w:val="9"/>
    <w:semiHidden/>
    <w:rsid w:val="00CE5262"/>
    <w:rPr>
      <w:rFonts w:eastAsiaTheme="majorEastAsia" w:cstheme="majorBidi"/>
      <w:color w:val="003C9C" w:themeColor="text1" w:themeTint="D8"/>
    </w:rPr>
  </w:style>
  <w:style w:type="paragraph" w:styleId="Quote">
    <w:name w:val="Quote"/>
    <w:basedOn w:val="Normal"/>
    <w:next w:val="Normal"/>
    <w:link w:val="QuoteChar"/>
    <w:uiPriority w:val="29"/>
    <w:rsid w:val="00CE5262"/>
    <w:pPr>
      <w:spacing w:before="160" w:after="160"/>
      <w:jc w:val="center"/>
    </w:pPr>
    <w:rPr>
      <w:i/>
      <w:iCs/>
      <w:color w:val="004BC5" w:themeColor="text1" w:themeTint="BF"/>
    </w:rPr>
  </w:style>
  <w:style w:type="character" w:customStyle="1" w:styleId="QuoteChar">
    <w:name w:val="Quote Char"/>
    <w:basedOn w:val="DefaultParagraphFont"/>
    <w:link w:val="Quote"/>
    <w:uiPriority w:val="29"/>
    <w:rsid w:val="00CE5262"/>
    <w:rPr>
      <w:i/>
      <w:iCs/>
      <w:color w:val="004BC5" w:themeColor="text1" w:themeTint="BF"/>
    </w:rPr>
  </w:style>
  <w:style w:type="character" w:styleId="IntenseEmphasis">
    <w:name w:val="Intense Emphasis"/>
    <w:basedOn w:val="DefaultParagraphFont"/>
    <w:uiPriority w:val="21"/>
    <w:rsid w:val="00CE5262"/>
    <w:rPr>
      <w:i/>
      <w:iCs/>
      <w:color w:val="745196" w:themeColor="accent1" w:themeShade="BF"/>
    </w:rPr>
  </w:style>
  <w:style w:type="paragraph" w:styleId="IntenseQuote">
    <w:name w:val="Intense Quote"/>
    <w:basedOn w:val="Normal"/>
    <w:next w:val="Normal"/>
    <w:link w:val="IntenseQuoteChar"/>
    <w:uiPriority w:val="30"/>
    <w:rsid w:val="00CE5262"/>
    <w:pPr>
      <w:pBdr>
        <w:top w:val="single" w:sz="4" w:space="10" w:color="745196" w:themeColor="accent1" w:themeShade="BF"/>
        <w:bottom w:val="single" w:sz="4" w:space="10" w:color="745196" w:themeColor="accent1" w:themeShade="BF"/>
      </w:pBdr>
      <w:spacing w:before="360" w:after="360"/>
      <w:ind w:left="864" w:right="864"/>
      <w:jc w:val="center"/>
    </w:pPr>
    <w:rPr>
      <w:i/>
      <w:iCs/>
      <w:color w:val="745196" w:themeColor="accent1" w:themeShade="BF"/>
    </w:rPr>
  </w:style>
  <w:style w:type="character" w:customStyle="1" w:styleId="IntenseQuoteChar">
    <w:name w:val="Intense Quote Char"/>
    <w:basedOn w:val="DefaultParagraphFont"/>
    <w:link w:val="IntenseQuote"/>
    <w:uiPriority w:val="30"/>
    <w:rsid w:val="00CE5262"/>
    <w:rPr>
      <w:i/>
      <w:iCs/>
      <w:color w:val="745196" w:themeColor="accent1" w:themeShade="BF"/>
    </w:rPr>
  </w:style>
  <w:style w:type="character" w:styleId="IntenseReference">
    <w:name w:val="Intense Reference"/>
    <w:basedOn w:val="DefaultParagraphFont"/>
    <w:uiPriority w:val="32"/>
    <w:rsid w:val="00CE5262"/>
    <w:rPr>
      <w:b/>
      <w:bCs/>
      <w:smallCaps/>
      <w:color w:val="745196" w:themeColor="accent1" w:themeShade="BF"/>
      <w:spacing w:val="5"/>
    </w:rPr>
  </w:style>
  <w:style w:type="paragraph" w:styleId="Caption">
    <w:name w:val="caption"/>
    <w:basedOn w:val="Normal"/>
    <w:next w:val="Normal"/>
    <w:uiPriority w:val="35"/>
    <w:unhideWhenUsed/>
    <w:qFormat/>
    <w:rsid w:val="004D4980"/>
    <w:pPr>
      <w:spacing w:before="0" w:after="200"/>
    </w:pPr>
    <w:rPr>
      <w:i/>
      <w:iCs/>
      <w:color w:val="7AC143"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Electricity North West">
      <a:dk1>
        <a:srgbClr val="00245D"/>
      </a:dk1>
      <a:lt1>
        <a:srgbClr val="FFFFFF"/>
      </a:lt1>
      <a:dk2>
        <a:srgbClr val="7AC143"/>
      </a:dk2>
      <a:lt2>
        <a:srgbClr val="6CADDF"/>
      </a:lt2>
      <a:accent1>
        <a:srgbClr val="9C7DB9"/>
      </a:accent1>
      <a:accent2>
        <a:srgbClr val="F58426"/>
      </a:accent2>
      <a:accent3>
        <a:srgbClr val="DB0962"/>
      </a:accent3>
      <a:accent4>
        <a:srgbClr val="22BCB9"/>
      </a:accent4>
      <a:accent5>
        <a:srgbClr val="5F6062"/>
      </a:accent5>
      <a:accent6>
        <a:srgbClr val="A1A1A4"/>
      </a:accent6>
      <a:hlink>
        <a:srgbClr val="0000FF"/>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6D0FE3-FC79-430C-96B8-A06D1EA1A2FD}">
  <ds:schemaRefs>
    <ds:schemaRef ds:uri="http://schemas.openxmlformats.org/officeDocument/2006/bibliography"/>
  </ds:schemaRefs>
</ds:datastoreItem>
</file>

<file path=customXml/itemProps2.xml><?xml version="1.0" encoding="utf-8"?>
<ds:datastoreItem xmlns:ds="http://schemas.openxmlformats.org/officeDocument/2006/customXml" ds:itemID="{6E36035D-B57F-474B-99C5-C5EB5358929D}"/>
</file>

<file path=customXml/itemProps3.xml><?xml version="1.0" encoding="utf-8"?>
<ds:datastoreItem xmlns:ds="http://schemas.openxmlformats.org/officeDocument/2006/customXml" ds:itemID="{6D66CF7A-2154-41B6-A37F-A085BB2B33F6}"/>
</file>

<file path=customXml/itemProps4.xml><?xml version="1.0" encoding="utf-8"?>
<ds:datastoreItem xmlns:ds="http://schemas.openxmlformats.org/officeDocument/2006/customXml" ds:itemID="{C9358BC8-DCD6-4ED0-875D-5542032F6357}"/>
</file>

<file path=docMetadata/LabelInfo.xml><?xml version="1.0" encoding="utf-8"?>
<clbl:labelList xmlns:clbl="http://schemas.microsoft.com/office/2020/mipLabelMetadata">
  <clbl:label id="{bfceed79-d79c-46f8-83f6-d040f7ac09e2}" enabled="1" method="Privileged" siteId="{38901ed9-ed9f-4b79-83a5-787e5ae6e876}"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Electricity North West Limited</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Barker, Chris</dc:creator>
  <cp:keywords/>
  <dc:description/>
  <cp:lastModifiedBy>Barker, Chris</cp:lastModifiedBy>
  <cp:revision>3</cp:revision>
  <cp:lastPrinted>2018-11-21T13:30:00Z</cp:lastPrinted>
  <dcterms:created xsi:type="dcterms:W3CDTF">2026-08-21T08:37:00Z</dcterms:created>
  <dcterms:modified xsi:type="dcterms:W3CDTF">2026-08-21T08:37:00Z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